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Rule="auto"/>
        <w:rPr>
          <w:rFonts w:ascii="Helvetica Neue" w:cs="Helvetica Neue" w:eastAsia="Helvetica Neue" w:hAnsi="Helvetica Neue"/>
          <w:b w:val="1"/>
        </w:rPr>
      </w:pPr>
      <w:bookmarkStart w:colFirst="0" w:colLast="0" w:name="_jsff9zi9dfnw" w:id="0"/>
      <w:bookmarkEnd w:id="0"/>
      <w:r w:rsidDel="00000000" w:rsidR="00000000" w:rsidRPr="00000000">
        <w:rPr>
          <w:rFonts w:ascii="Helvetica Neue" w:cs="Helvetica Neue" w:eastAsia="Helvetica Neue" w:hAnsi="Helvetica Neue"/>
          <w:b w:val="1"/>
          <w:rtl w:val="0"/>
        </w:rPr>
        <w:t xml:space="preserve">Soundtrack for Success</w:t>
      </w:r>
    </w:p>
    <w:p w:rsidR="00000000" w:rsidDel="00000000" w:rsidP="00000000" w:rsidRDefault="00000000" w:rsidRPr="00000000" w14:paraId="00000002">
      <w:pPr>
        <w:pStyle w:val="Subtitle"/>
        <w:spacing w:after="120" w:lineRule="auto"/>
        <w:rPr>
          <w:rFonts w:ascii="Helvetica Neue" w:cs="Helvetica Neue" w:eastAsia="Helvetica Neue" w:hAnsi="Helvetica Neue"/>
        </w:rPr>
      </w:pPr>
      <w:bookmarkStart w:colFirst="0" w:colLast="0" w:name="_zg3zy8p7mo4b" w:id="1"/>
      <w:bookmarkEnd w:id="1"/>
      <w:r w:rsidDel="00000000" w:rsidR="00000000" w:rsidRPr="00000000">
        <w:rPr>
          <w:rFonts w:ascii="Helvetica Neue" w:cs="Helvetica Neue" w:eastAsia="Helvetica Neue" w:hAnsi="Helvetica Neue"/>
          <w:rtl w:val="0"/>
        </w:rPr>
        <w:t xml:space="preserve">The Final Countdown? We Are the Champions? Let the rhythm move your team to create a motivational playlist for winning at work. </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Creative activity</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Creativity and innovation</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Communication, creativity, fun, music, motivation, celebration</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w:t>
            </w:r>
          </w:p>
        </w:tc>
      </w:tr>
    </w:tbl>
    <w:p w:rsidR="00000000" w:rsidDel="00000000" w:rsidP="00000000" w:rsidRDefault="00000000" w:rsidRPr="00000000" w14:paraId="0000000C">
      <w:pPr>
        <w:pStyle w:val="Heading2"/>
        <w:rPr>
          <w:rFonts w:ascii="Helvetica Neue" w:cs="Helvetica Neue" w:eastAsia="Helvetica Neue" w:hAnsi="Helvetica Neue"/>
        </w:rPr>
      </w:pPr>
      <w:bookmarkStart w:colFirst="0" w:colLast="0" w:name="_u940r9fksf11" w:id="2"/>
      <w:bookmarkEnd w:id="2"/>
      <w:r w:rsidDel="00000000" w:rsidR="00000000" w:rsidRPr="00000000">
        <w:rPr>
          <w:rFonts w:ascii="Helvetica Neue" w:cs="Helvetica Neue" w:eastAsia="Helvetica Neue" w:hAnsi="Helvetica Neue"/>
          <w:b w:val="1"/>
          <w:rtl w:val="0"/>
        </w:rPr>
        <w:t xml:space="preserve">About this activity</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According to data from WebFX, 9 out of 10 workers surveyed state they perform better while listening to music and 61% of survey respondents said that listening to music at work makes them happier and more productive.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Soundtrack for Success is an interactive and fun group activity in which participants build a motivational playlist to help them win at work! The playlists from this activity can be played in the office, before and after meetings, to liven up the office on Monday mornings, to celebrate a big sale or team accomplishment, or anytime your team needs an energy boost.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This activity is well-suited for in-person, hybrid, or virtual team meetings and appeals to a general employee audience. </w:t>
      </w:r>
      <w:r w:rsidDel="00000000" w:rsidR="00000000" w:rsidRPr="00000000">
        <w:rPr>
          <w:rtl w:val="0"/>
        </w:rPr>
      </w:r>
    </w:p>
    <w:p w:rsidR="00000000" w:rsidDel="00000000" w:rsidP="00000000" w:rsidRDefault="00000000" w:rsidRPr="00000000" w14:paraId="00000012">
      <w:pPr>
        <w:pStyle w:val="Heading4"/>
        <w:rPr>
          <w:rFonts w:ascii="Helvetica Neue" w:cs="Helvetica Neue" w:eastAsia="Helvetica Neue" w:hAnsi="Helvetica Neue"/>
        </w:rPr>
      </w:pPr>
      <w:bookmarkStart w:colFirst="0" w:colLast="0" w:name="_fo35iqw2un75" w:id="3"/>
      <w:bookmarkEnd w:id="3"/>
      <w:r w:rsidDel="00000000" w:rsidR="00000000" w:rsidRPr="00000000">
        <w:rPr>
          <w:rFonts w:ascii="Helvetica Neue" w:cs="Helvetica Neue" w:eastAsia="Helvetica Neue" w:hAnsi="Helvetica Neue"/>
          <w:rtl w:val="0"/>
        </w:rPr>
        <w:t xml:space="preserve">Important details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7245"/>
        <w:tblGridChange w:id="0">
          <w:tblGrid>
            <w:gridCol w:w="2115"/>
            <w:gridCol w:w="72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Best for groups of</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3-5 participants, up to 50 total participants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Preparation time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30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2"/>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Access to phone with streaming music service (1 person per small group)</w:t>
            </w:r>
          </w:p>
          <w:p w:rsidR="00000000" w:rsidDel="00000000" w:rsidP="00000000" w:rsidRDefault="00000000" w:rsidRPr="00000000" w14:paraId="0000001B">
            <w:pPr>
              <w:widowControl w:val="0"/>
              <w:numPr>
                <w:ilvl w:val="0"/>
                <w:numId w:val="4"/>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facilitation platform with screen sharing ability, if virtual</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3"/>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Access to breakout rooms, in-person and virtual</w:t>
            </w:r>
          </w:p>
          <w:p w:rsidR="00000000" w:rsidDel="00000000" w:rsidP="00000000" w:rsidRDefault="00000000" w:rsidRPr="00000000" w14:paraId="0000001E">
            <w:pPr>
              <w:widowControl w:val="0"/>
              <w:numPr>
                <w:ilvl w:val="0"/>
                <w:numId w:val="3"/>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Location with wi-fi availability</w:t>
            </w:r>
          </w:p>
          <w:p w:rsidR="00000000" w:rsidDel="00000000" w:rsidP="00000000" w:rsidRDefault="00000000" w:rsidRPr="00000000" w14:paraId="0000001F">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Indoors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Noise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High</w:t>
            </w:r>
          </w:p>
        </w:tc>
      </w:tr>
    </w:tbl>
    <w:p w:rsidR="00000000" w:rsidDel="00000000" w:rsidP="00000000" w:rsidRDefault="00000000" w:rsidRPr="00000000" w14:paraId="00000022">
      <w:pPr>
        <w:pStyle w:val="Heading2"/>
        <w:rPr>
          <w:rFonts w:ascii="Helvetica Neue" w:cs="Helvetica Neue" w:eastAsia="Helvetica Neue" w:hAnsi="Helvetica Neue"/>
          <w:b w:val="1"/>
        </w:rPr>
      </w:pPr>
      <w:bookmarkStart w:colFirst="0" w:colLast="0" w:name="_ha4emkgxgvjo" w:id="4"/>
      <w:bookmarkEnd w:id="4"/>
      <w:r w:rsidDel="00000000" w:rsidR="00000000" w:rsidRPr="00000000">
        <w:rPr>
          <w:rFonts w:ascii="Helvetica Neue" w:cs="Helvetica Neue" w:eastAsia="Helvetica Neue" w:hAnsi="Helvetica Neue"/>
          <w:b w:val="1"/>
          <w:rtl w:val="0"/>
        </w:rPr>
        <w:t xml:space="preserve">How it works</w:t>
      </w:r>
    </w:p>
    <w:p w:rsidR="00000000" w:rsidDel="00000000" w:rsidP="00000000" w:rsidRDefault="00000000" w:rsidRPr="00000000" w14:paraId="00000023">
      <w:pPr>
        <w:pStyle w:val="Heading4"/>
        <w:rPr>
          <w:rFonts w:ascii="Helvetica Neue" w:cs="Helvetica Neue" w:eastAsia="Helvetica Neue" w:hAnsi="Helvetica Neue"/>
        </w:rPr>
      </w:pPr>
      <w:bookmarkStart w:colFirst="0" w:colLast="0" w:name="_v0tz477t0gmr" w:id="5"/>
      <w:bookmarkEnd w:id="5"/>
      <w:r w:rsidDel="00000000" w:rsidR="00000000" w:rsidRPr="00000000">
        <w:rPr>
          <w:rFonts w:ascii="Helvetica Neue" w:cs="Helvetica Neue" w:eastAsia="Helvetica Neue" w:hAnsi="Helvetica Neue"/>
          <w:rtl w:val="0"/>
        </w:rPr>
        <w:t xml:space="preserve">Instructions</w:t>
      </w: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Before conducting the activity (5 minutes):</w:t>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review the instructions and decide how to divide participants for group activity and assign breakout rooms for virtual participants.</w:t>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Conducting the activity:</w:t>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Introduction (10 minutes):</w:t>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introduce the activity by taking an informal poll (show of hands) of how many participants listen to music as they work. If the session is hybrid, the facilitator will want to call attention to the results from the virtual participants as well. </w:t>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share the following statistics from WebFX:</w:t>
      </w:r>
    </w:p>
    <w:p w:rsidR="00000000" w:rsidDel="00000000" w:rsidP="00000000" w:rsidRDefault="00000000" w:rsidRPr="00000000" w14:paraId="0000002E">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77% of small and medium-sized business owners believe that music increases employee morale.</w:t>
      </w:r>
    </w:p>
    <w:p w:rsidR="00000000" w:rsidDel="00000000" w:rsidP="00000000" w:rsidRDefault="00000000" w:rsidRPr="00000000" w14:paraId="0000002F">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65% of business owners believe music makes employees more productive.</w:t>
      </w:r>
    </w:p>
    <w:p w:rsidR="00000000" w:rsidDel="00000000" w:rsidP="00000000" w:rsidRDefault="00000000" w:rsidRPr="00000000" w14:paraId="00000030">
      <w:pPr>
        <w:numPr>
          <w:ilvl w:val="0"/>
          <w:numId w:val="1"/>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40% of business owners believe that playing music increases sales. </w:t>
      </w:r>
    </w:p>
    <w:p w:rsidR="00000000" w:rsidDel="00000000" w:rsidP="00000000" w:rsidRDefault="00000000" w:rsidRPr="00000000" w14:paraId="00000031">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ask participants if they agree with those statistics through a show of hands. </w:t>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divide the participants into small groups of 3-5 participants and ensure that at least one person in each group has access to a streaming music service and knows how to create a playlist.</w:t>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ask each group to create a playlist of 10 songs that they can use for motivation or to celebrate a win at work. Each participant should add at least one song to the playlist. All styles and genres of music are welcome.</w:t>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Group Discussion and Playlist Activity (10 minutes):</w:t>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A">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Participants collaborate to produce their playlist, adding a minimum of 10 songs.</w:t>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Final Results Sharing and Wrap-Up (10 minutes):</w:t>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asks for volunteers to share their playlist songs and allows several groups to share. </w:t>
      </w:r>
    </w:p>
    <w:p w:rsidR="00000000" w:rsidDel="00000000" w:rsidP="00000000" w:rsidRDefault="00000000" w:rsidRPr="00000000" w14:paraId="0000004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3">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encourages each small group to share its playlist with their participants by email, text, or in the chat if in a virtual meeting room, and with their department team and/or Human Resources for distribution within the company.</w:t>
      </w:r>
    </w:p>
    <w:p w:rsidR="00000000" w:rsidDel="00000000" w:rsidP="00000000" w:rsidRDefault="00000000" w:rsidRPr="00000000" w14:paraId="00000044">
      <w:pPr>
        <w:pStyle w:val="Heading4"/>
        <w:rPr>
          <w:rFonts w:ascii="Helvetica Neue" w:cs="Helvetica Neue" w:eastAsia="Helvetica Neue" w:hAnsi="Helvetica Neue"/>
        </w:rPr>
      </w:pPr>
      <w:bookmarkStart w:colFirst="0" w:colLast="0" w:name="_vb1z58y8hwvm" w:id="6"/>
      <w:bookmarkEnd w:id="6"/>
      <w:r w:rsidDel="00000000" w:rsidR="00000000" w:rsidRPr="00000000">
        <w:rPr>
          <w:rFonts w:ascii="Helvetica Neue" w:cs="Helvetica Neue" w:eastAsia="Helvetica Neue" w:hAnsi="Helvetica Neue"/>
          <w:rtl w:val="0"/>
        </w:rPr>
        <w:t xml:space="preserve">Rules</w:t>
      </w:r>
    </w:p>
    <w:p w:rsidR="00000000" w:rsidDel="00000000" w:rsidP="00000000" w:rsidRDefault="00000000" w:rsidRPr="00000000" w14:paraId="0000004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Avoid music that is, or can be considered, offensive, discriminatory, or otherwise inappropriate for your clients, coworkers, or a professional environment.</w:t>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Dance, if you like. 🕺💃</w:t>
      </w:r>
    </w:p>
    <w:p w:rsidR="00000000" w:rsidDel="00000000" w:rsidP="00000000" w:rsidRDefault="00000000" w:rsidRPr="00000000" w14:paraId="00000048">
      <w:pPr>
        <w:pStyle w:val="Heading4"/>
        <w:rPr>
          <w:rFonts w:ascii="Helvetica Neue" w:cs="Helvetica Neue" w:eastAsia="Helvetica Neue" w:hAnsi="Helvetica Neue"/>
        </w:rPr>
      </w:pPr>
      <w:bookmarkStart w:colFirst="0" w:colLast="0" w:name="_hci767tfvuix" w:id="7"/>
      <w:bookmarkEnd w:id="7"/>
      <w:r w:rsidDel="00000000" w:rsidR="00000000" w:rsidRPr="00000000">
        <w:rPr>
          <w:rFonts w:ascii="Helvetica Neue" w:cs="Helvetica Neue" w:eastAsia="Helvetica Neue" w:hAnsi="Helvetica Neue"/>
          <w:rtl w:val="0"/>
        </w:rPr>
        <w:t xml:space="preserve">Example</w:t>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Some example songs:</w:t>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 Are the Champions” by Queen</w:t>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Final Countdown” by Europe</w:t>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“Happy” by Pharell Williams</w:t>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1">
      <w:pPr>
        <w:pStyle w:val="Heading2"/>
        <w:rPr>
          <w:rFonts w:ascii="Helvetica Neue" w:cs="Helvetica Neue" w:eastAsia="Helvetica Neue" w:hAnsi="Helvetica Neue"/>
          <w:b w:val="1"/>
        </w:rPr>
      </w:pPr>
      <w:bookmarkStart w:colFirst="0" w:colLast="0" w:name="_qt5ewarzzidt" w:id="8"/>
      <w:bookmarkEnd w:id="8"/>
      <w:r w:rsidDel="00000000" w:rsidR="00000000" w:rsidRPr="00000000">
        <w:rPr>
          <w:rFonts w:ascii="Helvetica Neue" w:cs="Helvetica Neue" w:eastAsia="Helvetica Neue" w:hAnsi="Helvetica Neue"/>
          <w:b w:val="1"/>
          <w:rtl w:val="0"/>
        </w:rPr>
        <w:t xml:space="preserve">Materials</w:t>
      </w:r>
    </w:p>
    <w:p w:rsidR="00000000" w:rsidDel="00000000" w:rsidP="00000000" w:rsidRDefault="00000000" w:rsidRPr="00000000" w14:paraId="00000052">
      <w:pPr>
        <w:pStyle w:val="Heading4"/>
        <w:rPr>
          <w:rFonts w:ascii="Helvetica Neue" w:cs="Helvetica Neue" w:eastAsia="Helvetica Neue" w:hAnsi="Helvetica Neue"/>
        </w:rPr>
      </w:pPr>
      <w:bookmarkStart w:colFirst="0" w:colLast="0" w:name="_93cmmvusellp" w:id="9"/>
      <w:bookmarkEnd w:id="9"/>
      <w:r w:rsidDel="00000000" w:rsidR="00000000" w:rsidRPr="00000000">
        <w:rPr>
          <w:rFonts w:ascii="Helvetica Neue" w:cs="Helvetica Neue" w:eastAsia="Helvetica Neue" w:hAnsi="Helvetica Neue"/>
          <w:rtl w:val="0"/>
        </w:rPr>
        <w:t xml:space="preserve">For facilitator</w:t>
      </w:r>
    </w:p>
    <w:p w:rsidR="00000000" w:rsidDel="00000000" w:rsidP="00000000" w:rsidRDefault="00000000" w:rsidRPr="00000000" w14:paraId="0000005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Meeting facilitation platform with screen sharing, if hybrid/remote</w:t>
      </w:r>
      <w:r w:rsidDel="00000000" w:rsidR="00000000" w:rsidRPr="00000000">
        <w:rPr>
          <w:rtl w:val="0"/>
        </w:rPr>
      </w:r>
    </w:p>
    <w:p w:rsidR="00000000" w:rsidDel="00000000" w:rsidP="00000000" w:rsidRDefault="00000000" w:rsidRPr="00000000" w14:paraId="00000054">
      <w:pPr>
        <w:pStyle w:val="Heading4"/>
        <w:rPr>
          <w:rFonts w:ascii="Helvetica Neue" w:cs="Helvetica Neue" w:eastAsia="Helvetica Neue" w:hAnsi="Helvetica Neue"/>
        </w:rPr>
      </w:pPr>
      <w:bookmarkStart w:colFirst="0" w:colLast="0" w:name="_13b03ioat5zz" w:id="10"/>
      <w:bookmarkEnd w:id="10"/>
      <w:r w:rsidDel="00000000" w:rsidR="00000000" w:rsidRPr="00000000">
        <w:rPr>
          <w:rFonts w:ascii="Helvetica Neue" w:cs="Helvetica Neue" w:eastAsia="Helvetica Neue" w:hAnsi="Helvetica Neue"/>
          <w:rtl w:val="0"/>
        </w:rPr>
        <w:t xml:space="preserve">For attendee</w:t>
      </w:r>
    </w:p>
    <w:p w:rsidR="00000000" w:rsidDel="00000000" w:rsidP="00000000" w:rsidRDefault="00000000" w:rsidRPr="00000000" w14:paraId="0000005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Smartphone with streaming music app</w:t>
      </w:r>
    </w:p>
    <w:p w:rsidR="00000000" w:rsidDel="00000000" w:rsidP="00000000" w:rsidRDefault="00000000" w:rsidRPr="00000000" w14:paraId="00000056">
      <w:pPr>
        <w:rPr>
          <w:rFonts w:ascii="Helvetica Neue" w:cs="Helvetica Neue" w:eastAsia="Helvetica Neue" w:hAnsi="Helvetica Neu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bottom w:color="5552f5" w:space="2" w:sz="18" w:val="single"/>
      </w:pBdr>
      <w:rPr/>
    </w:pPr>
    <w:r w:rsidDel="00000000" w:rsidR="00000000" w:rsidRPr="00000000">
      <w:rPr/>
      <w:drawing>
        <wp:inline distB="114300" distT="114300" distL="114300" distR="114300">
          <wp:extent cx="874059"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4059"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